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1B" w:rsidRDefault="00B33D39">
      <w:r>
        <w:t xml:space="preserve">         </w:t>
      </w:r>
      <w:r w:rsidR="008246AA" w:rsidRPr="008246AA">
        <w:rPr>
          <w:noProof/>
          <w:lang w:eastAsia="en-GB"/>
        </w:rPr>
        <w:drawing>
          <wp:inline distT="0" distB="0" distL="0" distR="0" wp14:anchorId="499BD2C5" wp14:editId="46789267">
            <wp:extent cx="9353550" cy="5261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60098" cy="5265056"/>
                    </a:xfrm>
                    <a:prstGeom prst="rect">
                      <a:avLst/>
                    </a:prstGeom>
                  </pic:spPr>
                </pic:pic>
              </a:graphicData>
            </a:graphic>
          </wp:inline>
        </w:drawing>
      </w:r>
    </w:p>
    <w:p w:rsidR="008246AA" w:rsidRDefault="00D26BD3">
      <w:r>
        <w:rPr>
          <w:noProof/>
          <w:lang w:eastAsia="en-GB"/>
        </w:rPr>
        <mc:AlternateContent>
          <mc:Choice Requires="wps">
            <w:drawing>
              <wp:anchor distT="0" distB="0" distL="114300" distR="114300" simplePos="0" relativeHeight="251659264" behindDoc="0" locked="0" layoutInCell="1" allowOverlap="1" wp14:anchorId="1A6F167E" wp14:editId="32BEB006">
                <wp:simplePos x="0" y="0"/>
                <wp:positionH relativeFrom="margin">
                  <wp:posOffset>1476375</wp:posOffset>
                </wp:positionH>
                <wp:positionV relativeFrom="paragraph">
                  <wp:posOffset>8890</wp:posOffset>
                </wp:positionV>
                <wp:extent cx="716026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160260" cy="1828800"/>
                        </a:xfrm>
                        <a:prstGeom prst="rect">
                          <a:avLst/>
                        </a:prstGeom>
                        <a:noFill/>
                        <a:ln>
                          <a:noFill/>
                        </a:ln>
                      </wps:spPr>
                      <wps:txbx>
                        <w:txbxContent>
                          <w:p w:rsidR="008246AA" w:rsidRPr="00D26BD3" w:rsidRDefault="00695BC7" w:rsidP="00D26BD3">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 Catch-</w:t>
                            </w:r>
                            <w:r w:rsidR="00D26BD3" w:rsidRPr="00D26BD3">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w:t>
                            </w:r>
                            <w:r w:rsidR="008246AA" w:rsidRPr="00D26BD3">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Premium Statement</w:t>
                            </w:r>
                          </w:p>
                          <w:p w:rsidR="008246AA" w:rsidRPr="008246AA" w:rsidRDefault="008246AA" w:rsidP="008246A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6F167E" id="_x0000_t202" coordsize="21600,21600" o:spt="202" path="m,l,21600r21600,l21600,xe">
                <v:stroke joinstyle="miter"/>
                <v:path gradientshapeok="t" o:connecttype="rect"/>
              </v:shapetype>
              <v:shape id="Text Box 2" o:spid="_x0000_s1026" type="#_x0000_t202" style="position:absolute;margin-left:116.25pt;margin-top:.7pt;width:563.8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" filled="f" stroked="f">
                <v:textbox style="mso-fit-shape-to-text:t">
                  <w:txbxContent>
                    <w:p w:rsidR="008246AA" w:rsidRPr="00D26BD3" w:rsidRDefault="00695BC7" w:rsidP="00D26BD3">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 Catch-</w:t>
                      </w:r>
                      <w:r w:rsidR="00D26BD3" w:rsidRPr="00D26BD3">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w:t>
                      </w:r>
                      <w:r w:rsidR="008246AA" w:rsidRPr="00D26BD3">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Premium Statement</w:t>
                      </w:r>
                    </w:p>
                    <w:p w:rsidR="008246AA" w:rsidRPr="008246AA" w:rsidRDefault="008246AA" w:rsidP="008246A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v:textbox>
                <w10:wrap anchorx="margin"/>
              </v:shape>
            </w:pict>
          </mc:Fallback>
        </mc:AlternateContent>
      </w:r>
    </w:p>
    <w:p w:rsidR="008246AA" w:rsidRDefault="008246AA"/>
    <w:p w:rsidR="008246AA" w:rsidRDefault="008246AA"/>
    <w:p w:rsidR="00D26BD3" w:rsidRDefault="00D26BD3" w:rsidP="00D26BD3"/>
    <w:p w:rsidR="00D26BD3" w:rsidRPr="00695BC7" w:rsidRDefault="00D26BD3" w:rsidP="00D26BD3">
      <w:pPr>
        <w:rPr>
          <w:sz w:val="32"/>
        </w:rPr>
      </w:pPr>
      <w:r w:rsidRPr="00695BC7">
        <w:rPr>
          <w:b/>
          <w:bCs/>
          <w:sz w:val="32"/>
        </w:rPr>
        <w:lastRenderedPageBreak/>
        <w:t>YEAR 7 CATCH-UP PREMIUM</w:t>
      </w:r>
    </w:p>
    <w:p w:rsidR="00D26BD3" w:rsidRPr="00695BC7" w:rsidRDefault="00D26BD3" w:rsidP="00D26BD3">
      <w:pPr>
        <w:rPr>
          <w:rFonts w:cstheme="minorHAnsi"/>
          <w:color w:val="0B0C0C"/>
          <w:sz w:val="24"/>
          <w:szCs w:val="24"/>
          <w:shd w:val="clear" w:color="auto" w:fill="FFFFFF"/>
        </w:rPr>
      </w:pPr>
      <w:r w:rsidRPr="00695BC7">
        <w:rPr>
          <w:rFonts w:cstheme="minorHAnsi"/>
          <w:sz w:val="24"/>
          <w:szCs w:val="24"/>
        </w:rPr>
        <w:t xml:space="preserve">The Year 7 catch-up premium is a fund to support pupils who did not achieve the expected standard in reading and/or mathematics at the end of Key Stage 2. </w:t>
      </w:r>
      <w:r w:rsidRPr="00695BC7">
        <w:rPr>
          <w:rFonts w:cstheme="minorHAnsi"/>
          <w:color w:val="0B0C0C"/>
          <w:sz w:val="24"/>
          <w:szCs w:val="24"/>
          <w:shd w:val="clear" w:color="auto" w:fill="FFFFFF"/>
        </w:rPr>
        <w:t>To reach the expected standard in all of reading, writing and maths, a pupil must achieve a scaled score of 100 or more in reading and maths tests and an outcome of ‘reaching the expected standard’ or ‘working at greater depth’ in writing teacher assessment. In the tests, pupils meet the expected standard if they achieve a scaled score of 100 or more. DfE considers meeting the expected standard in reading, writing and maths to be key for success in secondary school and beyond. </w:t>
      </w:r>
    </w:p>
    <w:p w:rsidR="00D26BD3" w:rsidRPr="00695BC7" w:rsidRDefault="00D26BD3" w:rsidP="00D26BD3">
      <w:pPr>
        <w:pStyle w:val="NormalWeb"/>
        <w:shd w:val="clear" w:color="auto" w:fill="FFFFFF"/>
        <w:spacing w:before="300" w:beforeAutospacing="0" w:after="300" w:afterAutospacing="0"/>
        <w:rPr>
          <w:rFonts w:asciiTheme="minorHAnsi" w:hAnsiTheme="minorHAnsi" w:cstheme="minorHAnsi"/>
          <w:color w:val="0B0C0C"/>
        </w:rPr>
      </w:pPr>
      <w:r w:rsidRPr="00695BC7">
        <w:rPr>
          <w:rFonts w:asciiTheme="minorHAnsi" w:hAnsiTheme="minorHAnsi" w:cstheme="minorHAnsi"/>
          <w:color w:val="0B0C0C"/>
        </w:rPr>
        <w:t>It’s incorrect to say pupils who have not met the expected standard in reading cannot read, or that those who have not met the expected standard in writing cannot write, and so on.</w:t>
      </w:r>
    </w:p>
    <w:p w:rsidR="00D26BD3" w:rsidRPr="00695BC7" w:rsidRDefault="00D26BD3" w:rsidP="00D26BD3">
      <w:pPr>
        <w:pStyle w:val="NormalWeb"/>
        <w:shd w:val="clear" w:color="auto" w:fill="FFFFFF"/>
        <w:spacing w:before="300" w:beforeAutospacing="0" w:after="300" w:afterAutospacing="0"/>
        <w:rPr>
          <w:rFonts w:asciiTheme="minorHAnsi" w:hAnsiTheme="minorHAnsi" w:cstheme="minorHAnsi"/>
          <w:color w:val="0B0C0C"/>
        </w:rPr>
      </w:pPr>
      <w:r w:rsidRPr="00695BC7">
        <w:rPr>
          <w:rFonts w:asciiTheme="minorHAnsi" w:hAnsiTheme="minorHAnsi" w:cstheme="minorHAnsi"/>
          <w:color w:val="0B0C0C"/>
        </w:rPr>
        <w:t>There’s a spectrum of attainment among pupils who do not meet the expected standard, with some coming close and others further away.</w:t>
      </w:r>
    </w:p>
    <w:p w:rsidR="00D26BD3" w:rsidRPr="00695BC7" w:rsidRDefault="00D26BD3" w:rsidP="00D26BD3">
      <w:pPr>
        <w:pStyle w:val="NormalWeb"/>
        <w:shd w:val="clear" w:color="auto" w:fill="FFFFFF"/>
        <w:spacing w:before="300" w:beforeAutospacing="0" w:after="300" w:afterAutospacing="0"/>
        <w:rPr>
          <w:rFonts w:asciiTheme="minorHAnsi" w:hAnsiTheme="minorHAnsi" w:cstheme="minorHAnsi"/>
          <w:color w:val="0B0C0C"/>
        </w:rPr>
      </w:pPr>
      <w:r w:rsidRPr="00695BC7">
        <w:rPr>
          <w:rFonts w:asciiTheme="minorHAnsi" w:hAnsiTheme="minorHAnsi" w:cstheme="minorHAnsi"/>
          <w:color w:val="0B0C0C"/>
        </w:rPr>
        <w:t>A pupil who achieves below the expected standard will still be able to read. For example, they may be able to retrieve simple information from a text but be unable to make developed inferences about what they have read.</w:t>
      </w:r>
    </w:p>
    <w:p w:rsidR="00695BC7" w:rsidRPr="00695BC7" w:rsidRDefault="00695BC7" w:rsidP="00D26BD3">
      <w:pPr>
        <w:rPr>
          <w:rFonts w:cstheme="minorHAnsi"/>
          <w:color w:val="0B0C0C"/>
          <w:sz w:val="24"/>
          <w:szCs w:val="24"/>
          <w:shd w:val="clear" w:color="auto" w:fill="FFFFFF"/>
        </w:rPr>
      </w:pPr>
      <w:r w:rsidRPr="00695BC7">
        <w:rPr>
          <w:rFonts w:cstheme="minorHAnsi"/>
          <w:color w:val="0B0C0C"/>
          <w:sz w:val="24"/>
          <w:szCs w:val="24"/>
          <w:shd w:val="clear" w:color="auto" w:fill="FFFFFF"/>
        </w:rPr>
        <w:t xml:space="preserve">33.3% of our Year 7 students achieved a scaled score below 100 in mathematics and 43% of students achieved a scaled score below 100 in reading. There are 42 students in our Year 7 cohort who are below expected standard in both reading and mathematics. </w:t>
      </w:r>
    </w:p>
    <w:p w:rsidR="00D26BD3" w:rsidRPr="00D26BD3" w:rsidRDefault="00695BC7" w:rsidP="00D26BD3">
      <w:pPr>
        <w:rPr>
          <w:rFonts w:ascii="Arial" w:hAnsi="Arial" w:cs="Arial"/>
          <w:color w:val="0B0C0C"/>
          <w:sz w:val="29"/>
          <w:szCs w:val="29"/>
          <w:shd w:val="clear" w:color="auto" w:fill="FFFFFF"/>
        </w:rPr>
      </w:pPr>
      <w:r>
        <w:rPr>
          <w:rFonts w:ascii="Arial" w:hAnsi="Arial" w:cs="Arial"/>
          <w:color w:val="0B0C0C"/>
          <w:sz w:val="29"/>
          <w:szCs w:val="29"/>
          <w:shd w:val="clear" w:color="auto" w:fill="FFFFFF"/>
        </w:rPr>
        <w:t xml:space="preserve">                                              </w:t>
      </w:r>
      <w:r w:rsidRPr="00695BC7">
        <w:rPr>
          <w:rFonts w:ascii="Arial" w:hAnsi="Arial" w:cs="Arial"/>
          <w:noProof/>
          <w:color w:val="0B0C0C"/>
          <w:sz w:val="29"/>
          <w:szCs w:val="29"/>
          <w:shd w:val="clear" w:color="auto" w:fill="FFFFFF"/>
          <w:lang w:eastAsia="en-GB"/>
        </w:rPr>
        <w:drawing>
          <wp:inline distT="0" distB="0" distL="0" distR="0" wp14:anchorId="19EC0A6F" wp14:editId="3993EA34">
            <wp:extent cx="5210902" cy="2924583"/>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0902" cy="2924583"/>
                    </a:xfrm>
                    <a:prstGeom prst="rect">
                      <a:avLst/>
                    </a:prstGeom>
                  </pic:spPr>
                </pic:pic>
              </a:graphicData>
            </a:graphic>
          </wp:inline>
        </w:drawing>
      </w:r>
      <w:r>
        <w:rPr>
          <w:rFonts w:ascii="Arial" w:hAnsi="Arial" w:cs="Arial"/>
          <w:color w:val="0B0C0C"/>
          <w:sz w:val="29"/>
          <w:szCs w:val="29"/>
          <w:shd w:val="clear" w:color="auto" w:fill="FFFFFF"/>
        </w:rPr>
        <w:t xml:space="preserve"> </w:t>
      </w:r>
    </w:p>
    <w:p w:rsidR="00D26BD3" w:rsidRPr="00767D2B" w:rsidRDefault="00AA276D" w:rsidP="00AA276D">
      <w:pPr>
        <w:rPr>
          <w:sz w:val="24"/>
          <w:szCs w:val="24"/>
        </w:rPr>
      </w:pPr>
      <w:r w:rsidRPr="00767D2B">
        <w:rPr>
          <w:sz w:val="24"/>
          <w:szCs w:val="24"/>
        </w:rPr>
        <w:lastRenderedPageBreak/>
        <w:t>George Pindar School</w:t>
      </w:r>
      <w:r w:rsidR="00D26BD3" w:rsidRPr="00767D2B">
        <w:rPr>
          <w:sz w:val="24"/>
          <w:szCs w:val="24"/>
        </w:rPr>
        <w:t xml:space="preserve"> received </w:t>
      </w:r>
      <w:r w:rsidRPr="00767D2B">
        <w:rPr>
          <w:rFonts w:ascii="Calibri" w:eastAsia="Times New Roman" w:hAnsi="Calibri" w:cs="Calibri"/>
          <w:color w:val="000000"/>
          <w:sz w:val="24"/>
          <w:szCs w:val="24"/>
          <w:lang w:eastAsia="en-GB"/>
        </w:rPr>
        <w:t xml:space="preserve">£15,807 </w:t>
      </w:r>
      <w:r w:rsidR="00D26BD3" w:rsidRPr="00767D2B">
        <w:rPr>
          <w:sz w:val="24"/>
          <w:szCs w:val="24"/>
        </w:rPr>
        <w:t>in catch-up premium</w:t>
      </w:r>
      <w:r w:rsidRPr="00767D2B">
        <w:rPr>
          <w:sz w:val="24"/>
          <w:szCs w:val="24"/>
        </w:rPr>
        <w:t xml:space="preserve"> funding</w:t>
      </w:r>
      <w:r w:rsidR="00D26BD3" w:rsidRPr="00767D2B">
        <w:rPr>
          <w:sz w:val="24"/>
          <w:szCs w:val="24"/>
        </w:rPr>
        <w:t xml:space="preserve"> in 2018-19. </w:t>
      </w:r>
      <w:r w:rsidRPr="00767D2B">
        <w:rPr>
          <w:sz w:val="24"/>
          <w:szCs w:val="24"/>
        </w:rPr>
        <w:t>We expect a similar allocation for 2019-2020.</w:t>
      </w:r>
    </w:p>
    <w:p w:rsidR="00D26BD3" w:rsidRPr="00D26BD3" w:rsidRDefault="00D26BD3" w:rsidP="00D26BD3">
      <w:r w:rsidRPr="00D26BD3">
        <w:rPr>
          <w:b/>
          <w:bCs/>
        </w:rPr>
        <w:t>Year 7 Catch-up intervention programme</w:t>
      </w:r>
    </w:p>
    <w:tbl>
      <w:tblPr>
        <w:tblW w:w="15301"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0" w:type="dxa"/>
          <w:right w:w="0" w:type="dxa"/>
        </w:tblCellMar>
        <w:tblLook w:val="04A0" w:firstRow="1" w:lastRow="0" w:firstColumn="1" w:lastColumn="0" w:noHBand="0" w:noVBand="1"/>
      </w:tblPr>
      <w:tblGrid>
        <w:gridCol w:w="2455"/>
        <w:gridCol w:w="4736"/>
        <w:gridCol w:w="8110"/>
      </w:tblGrid>
      <w:tr w:rsidR="000A2B4D" w:rsidRPr="00D26BD3" w:rsidTr="000A2B4D">
        <w:trPr>
          <w:tblHeader/>
        </w:trPr>
        <w:tc>
          <w:tcPr>
            <w:tcW w:w="0" w:type="auto"/>
            <w:shd w:val="clear" w:color="auto" w:fill="00B0F0"/>
            <w:tcMar>
              <w:top w:w="120" w:type="dxa"/>
              <w:left w:w="192" w:type="dxa"/>
              <w:bottom w:w="120" w:type="dxa"/>
              <w:right w:w="192" w:type="dxa"/>
            </w:tcMar>
            <w:vAlign w:val="center"/>
            <w:hideMark/>
          </w:tcPr>
          <w:p w:rsidR="00D26BD3" w:rsidRPr="00237A6A" w:rsidRDefault="00D26BD3" w:rsidP="00D26BD3">
            <w:pPr>
              <w:rPr>
                <w:rFonts w:cstheme="minorHAnsi"/>
                <w:sz w:val="24"/>
                <w:szCs w:val="24"/>
              </w:rPr>
            </w:pPr>
            <w:r w:rsidRPr="00237A6A">
              <w:rPr>
                <w:rFonts w:cstheme="minorHAnsi"/>
                <w:sz w:val="24"/>
                <w:szCs w:val="24"/>
              </w:rPr>
              <w:t>Intervention</w:t>
            </w:r>
          </w:p>
        </w:tc>
        <w:tc>
          <w:tcPr>
            <w:tcW w:w="0" w:type="auto"/>
            <w:shd w:val="clear" w:color="auto" w:fill="00B0F0"/>
            <w:tcMar>
              <w:top w:w="120" w:type="dxa"/>
              <w:left w:w="192" w:type="dxa"/>
              <w:bottom w:w="120" w:type="dxa"/>
              <w:right w:w="192" w:type="dxa"/>
            </w:tcMar>
            <w:vAlign w:val="center"/>
            <w:hideMark/>
          </w:tcPr>
          <w:p w:rsidR="00D26BD3" w:rsidRPr="00237A6A" w:rsidRDefault="00D26BD3" w:rsidP="00D26BD3">
            <w:pPr>
              <w:rPr>
                <w:rFonts w:cstheme="minorHAnsi"/>
                <w:sz w:val="24"/>
                <w:szCs w:val="24"/>
              </w:rPr>
            </w:pPr>
            <w:r w:rsidRPr="00237A6A">
              <w:rPr>
                <w:rFonts w:cstheme="minorHAnsi"/>
                <w:sz w:val="24"/>
                <w:szCs w:val="24"/>
              </w:rPr>
              <w:t>Strategy</w:t>
            </w:r>
          </w:p>
        </w:tc>
        <w:tc>
          <w:tcPr>
            <w:tcW w:w="8110" w:type="dxa"/>
            <w:shd w:val="clear" w:color="auto" w:fill="00B0F0"/>
            <w:tcMar>
              <w:top w:w="120" w:type="dxa"/>
              <w:left w:w="192" w:type="dxa"/>
              <w:bottom w:w="120" w:type="dxa"/>
              <w:right w:w="192" w:type="dxa"/>
            </w:tcMar>
            <w:vAlign w:val="center"/>
            <w:hideMark/>
          </w:tcPr>
          <w:p w:rsidR="00D26BD3" w:rsidRPr="00237A6A" w:rsidRDefault="00D26BD3" w:rsidP="00D26BD3">
            <w:pPr>
              <w:rPr>
                <w:rFonts w:cstheme="minorHAnsi"/>
                <w:sz w:val="24"/>
                <w:szCs w:val="24"/>
              </w:rPr>
            </w:pPr>
            <w:r w:rsidRPr="00237A6A">
              <w:rPr>
                <w:rFonts w:cstheme="minorHAnsi"/>
                <w:sz w:val="24"/>
                <w:szCs w:val="24"/>
              </w:rPr>
              <w:t>Intended impact</w:t>
            </w:r>
          </w:p>
        </w:tc>
      </w:tr>
      <w:tr w:rsidR="000A2B4D" w:rsidRPr="00D26BD3" w:rsidTr="000A2B4D">
        <w:tc>
          <w:tcPr>
            <w:tcW w:w="0" w:type="auto"/>
            <w:shd w:val="clear" w:color="auto" w:fill="auto"/>
            <w:tcMar>
              <w:top w:w="120" w:type="dxa"/>
              <w:left w:w="192" w:type="dxa"/>
              <w:bottom w:w="120" w:type="dxa"/>
              <w:right w:w="192" w:type="dxa"/>
            </w:tcMar>
            <w:vAlign w:val="center"/>
            <w:hideMark/>
          </w:tcPr>
          <w:p w:rsidR="00D26BD3" w:rsidRPr="00237A6A" w:rsidRDefault="00AA276D" w:rsidP="00D26BD3">
            <w:pPr>
              <w:rPr>
                <w:rFonts w:cstheme="minorHAnsi"/>
                <w:sz w:val="24"/>
                <w:szCs w:val="24"/>
              </w:rPr>
            </w:pPr>
            <w:r w:rsidRPr="00237A6A">
              <w:rPr>
                <w:rFonts w:cstheme="minorHAnsi"/>
                <w:sz w:val="24"/>
                <w:szCs w:val="24"/>
              </w:rPr>
              <w:t xml:space="preserve">EEF English Mastery Project </w:t>
            </w:r>
          </w:p>
          <w:p w:rsidR="00D26BD3" w:rsidRPr="00237A6A" w:rsidRDefault="00D26BD3" w:rsidP="00D26BD3">
            <w:pPr>
              <w:rPr>
                <w:rFonts w:cstheme="minorHAnsi"/>
                <w:sz w:val="24"/>
                <w:szCs w:val="24"/>
              </w:rPr>
            </w:pPr>
            <w:r w:rsidRPr="00237A6A">
              <w:rPr>
                <w:rFonts w:cstheme="minorHAnsi"/>
                <w:sz w:val="24"/>
                <w:szCs w:val="24"/>
              </w:rPr>
              <w:t> </w:t>
            </w:r>
          </w:p>
        </w:tc>
        <w:tc>
          <w:tcPr>
            <w:tcW w:w="0" w:type="auto"/>
            <w:shd w:val="clear" w:color="auto" w:fill="auto"/>
            <w:tcMar>
              <w:top w:w="120" w:type="dxa"/>
              <w:left w:w="192" w:type="dxa"/>
              <w:bottom w:w="120" w:type="dxa"/>
              <w:right w:w="192" w:type="dxa"/>
            </w:tcMar>
            <w:vAlign w:val="center"/>
            <w:hideMark/>
          </w:tcPr>
          <w:p w:rsidR="00AA276D" w:rsidRPr="00237A6A" w:rsidRDefault="00D73FF7" w:rsidP="00AA276D">
            <w:pPr>
              <w:pStyle w:val="NormalWeb"/>
              <w:shd w:val="clear" w:color="auto" w:fill="FFFFFF"/>
              <w:spacing w:before="0" w:beforeAutospacing="0" w:after="288" w:afterAutospacing="0"/>
              <w:rPr>
                <w:rFonts w:asciiTheme="minorHAnsi" w:hAnsiTheme="minorHAnsi" w:cstheme="minorHAnsi"/>
              </w:rPr>
            </w:pPr>
            <w:hyperlink r:id="rId9" w:history="1">
              <w:r w:rsidR="00AA276D" w:rsidRPr="00237A6A">
                <w:rPr>
                  <w:rStyle w:val="Hyperlink"/>
                  <w:rFonts w:asciiTheme="minorHAnsi" w:hAnsiTheme="minorHAnsi" w:cstheme="minorHAnsi"/>
                  <w:color w:val="auto"/>
                  <w:u w:val="none"/>
                  <w:bdr w:val="none" w:sz="0" w:space="0" w:color="auto" w:frame="1"/>
                </w:rPr>
                <w:t>English Mastery</w:t>
              </w:r>
            </w:hyperlink>
            <w:r w:rsidR="00AA276D" w:rsidRPr="00237A6A">
              <w:rPr>
                <w:rFonts w:asciiTheme="minorHAnsi" w:hAnsiTheme="minorHAnsi" w:cstheme="minorHAnsi"/>
              </w:rPr>
              <w:t> programme trains and provides resources to English teachers to deliver a knowledge-rich Key Stage 3 English curriculum consisting of three distinct elements. </w:t>
            </w:r>
          </w:p>
          <w:p w:rsidR="00AA276D" w:rsidRPr="00237A6A" w:rsidRDefault="00AA276D" w:rsidP="00AA276D">
            <w:pPr>
              <w:pStyle w:val="NormalWeb"/>
              <w:shd w:val="clear" w:color="auto" w:fill="FFFFFF"/>
              <w:spacing w:before="0" w:beforeAutospacing="0" w:after="288" w:afterAutospacing="0"/>
              <w:rPr>
                <w:rFonts w:asciiTheme="minorHAnsi" w:hAnsiTheme="minorHAnsi" w:cstheme="minorHAnsi"/>
              </w:rPr>
            </w:pPr>
            <w:r w:rsidRPr="00237A6A">
              <w:rPr>
                <w:rFonts w:asciiTheme="minorHAnsi" w:hAnsiTheme="minorHAnsi" w:cstheme="minorHAnsi"/>
              </w:rPr>
              <w:t>The first, Literacy Heritage, introduces students to canonical texts and modern classics, explicitly teaching pupils knowledge about the subject of English, the world, history, culture and heritage. </w:t>
            </w:r>
          </w:p>
          <w:p w:rsidR="00AA276D" w:rsidRPr="00237A6A" w:rsidRDefault="00AA276D" w:rsidP="00AA276D">
            <w:pPr>
              <w:pStyle w:val="NormalWeb"/>
              <w:shd w:val="clear" w:color="auto" w:fill="FFFFFF"/>
              <w:spacing w:before="0" w:beforeAutospacing="0" w:after="288" w:afterAutospacing="0"/>
              <w:rPr>
                <w:rFonts w:asciiTheme="minorHAnsi" w:hAnsiTheme="minorHAnsi" w:cstheme="minorHAnsi"/>
              </w:rPr>
            </w:pPr>
            <w:r w:rsidRPr="00237A6A">
              <w:rPr>
                <w:rFonts w:asciiTheme="minorHAnsi" w:hAnsiTheme="minorHAnsi" w:cstheme="minorHAnsi"/>
              </w:rPr>
              <w:t>The second, Mastery Writing, teaches pupils grammatical concepts and rules in a logical and cumulative sequence. Here, the lessons follow an interleaved structure and pupils deliberately practise concepts to the point of mastery. </w:t>
            </w:r>
          </w:p>
          <w:p w:rsidR="00AA276D" w:rsidRPr="00237A6A" w:rsidRDefault="00AA276D" w:rsidP="00AA276D">
            <w:pPr>
              <w:pStyle w:val="NormalWeb"/>
              <w:shd w:val="clear" w:color="auto" w:fill="FFFFFF"/>
              <w:spacing w:before="0" w:beforeAutospacing="0" w:after="288" w:afterAutospacing="0"/>
              <w:rPr>
                <w:rFonts w:asciiTheme="minorHAnsi" w:hAnsiTheme="minorHAnsi" w:cstheme="minorHAnsi"/>
              </w:rPr>
            </w:pPr>
            <w:r w:rsidRPr="00237A6A">
              <w:rPr>
                <w:rFonts w:asciiTheme="minorHAnsi" w:hAnsiTheme="minorHAnsi" w:cstheme="minorHAnsi"/>
              </w:rPr>
              <w:t>The third, Reading for Pleasure, introduces pupils to shared reading of contemporary texts, and uses this activity as an opportunity to explicitly teach vocabulary.</w:t>
            </w:r>
          </w:p>
          <w:p w:rsidR="00AA276D" w:rsidRPr="00237A6A" w:rsidRDefault="00AA276D" w:rsidP="00AA276D">
            <w:pPr>
              <w:pStyle w:val="NormalWeb"/>
              <w:shd w:val="clear" w:color="auto" w:fill="FFFFFF"/>
              <w:spacing w:before="0" w:beforeAutospacing="0" w:after="288" w:afterAutospacing="0"/>
              <w:rPr>
                <w:rFonts w:asciiTheme="minorHAnsi" w:hAnsiTheme="minorHAnsi" w:cstheme="minorHAnsi"/>
              </w:rPr>
            </w:pPr>
            <w:r w:rsidRPr="00237A6A">
              <w:rPr>
                <w:rFonts w:asciiTheme="minorHAnsi" w:hAnsiTheme="minorHAnsi" w:cstheme="minorHAnsi"/>
              </w:rPr>
              <w:t xml:space="preserve">English Mastery has been independently evaluated. After three years of the intervention, pupils in the intervention schools made greater progress than those in the control schools (around +4 months’ </w:t>
            </w:r>
            <w:r w:rsidRPr="00237A6A">
              <w:rPr>
                <w:rFonts w:asciiTheme="minorHAnsi" w:hAnsiTheme="minorHAnsi" w:cstheme="minorHAnsi"/>
              </w:rPr>
              <w:lastRenderedPageBreak/>
              <w:t>additional progress) on a standardised measure of reading. There was also evidence that English Mastery was particularly effective for pupils with low prior attainment. This impact is based on the first few years of the programme during which time it was still being developed.</w:t>
            </w:r>
          </w:p>
          <w:p w:rsidR="00D26BD3" w:rsidRPr="00237A6A" w:rsidRDefault="00AA276D" w:rsidP="00AA276D">
            <w:pPr>
              <w:pStyle w:val="NormalWeb"/>
              <w:shd w:val="clear" w:color="auto" w:fill="FFFFFF"/>
              <w:spacing w:before="0" w:beforeAutospacing="0" w:after="288" w:afterAutospacing="0"/>
              <w:rPr>
                <w:rFonts w:asciiTheme="minorHAnsi" w:hAnsiTheme="minorHAnsi" w:cstheme="minorHAnsi"/>
              </w:rPr>
            </w:pPr>
            <w:r w:rsidRPr="00237A6A">
              <w:rPr>
                <w:rFonts w:asciiTheme="minorHAnsi" w:hAnsiTheme="minorHAnsi" w:cstheme="minorHAnsi"/>
              </w:rPr>
              <w:t>In addition, the programme includes a variety of elements that are of particular interest to schools, such as an emphasis on a knowledge-rich curriculum and interleaving.</w:t>
            </w:r>
          </w:p>
        </w:tc>
        <w:tc>
          <w:tcPr>
            <w:tcW w:w="8110" w:type="dxa"/>
            <w:shd w:val="clear" w:color="auto" w:fill="auto"/>
            <w:tcMar>
              <w:top w:w="120" w:type="dxa"/>
              <w:left w:w="192" w:type="dxa"/>
              <w:bottom w:w="120" w:type="dxa"/>
              <w:right w:w="192" w:type="dxa"/>
            </w:tcMar>
            <w:vAlign w:val="center"/>
            <w:hideMark/>
          </w:tcPr>
          <w:p w:rsidR="00AA276D" w:rsidRPr="00237A6A" w:rsidRDefault="00AA276D" w:rsidP="00AA276D">
            <w:pPr>
              <w:pStyle w:val="NormalWeb"/>
              <w:shd w:val="clear" w:color="auto" w:fill="FFFFFF"/>
              <w:spacing w:before="0" w:beforeAutospacing="0" w:after="288" w:afterAutospacing="0"/>
              <w:rPr>
                <w:rFonts w:asciiTheme="minorHAnsi" w:hAnsiTheme="minorHAnsi" w:cstheme="minorHAnsi"/>
              </w:rPr>
            </w:pPr>
            <w:r w:rsidRPr="00237A6A">
              <w:rPr>
                <w:rFonts w:asciiTheme="minorHAnsi" w:hAnsiTheme="minorHAnsi" w:cstheme="minorHAnsi"/>
              </w:rPr>
              <w:lastRenderedPageBreak/>
              <w:t xml:space="preserve">The programme will be evaluated by a team from NatCen (Britain’s leading social research </w:t>
            </w:r>
            <w:r w:rsidR="00767D2B" w:rsidRPr="00237A6A">
              <w:rPr>
                <w:rFonts w:asciiTheme="minorHAnsi" w:hAnsiTheme="minorHAnsi" w:cstheme="minorHAnsi"/>
              </w:rPr>
              <w:t>institute</w:t>
            </w:r>
            <w:r w:rsidRPr="00237A6A">
              <w:rPr>
                <w:rFonts w:asciiTheme="minorHAnsi" w:hAnsiTheme="minorHAnsi" w:cstheme="minorHAnsi"/>
              </w:rPr>
              <w:t>) using a randomised controlled trial. This will be an efficacy trial, meaning that the programme will be tested under best possible conditions. It will measure the impact of delivering English Mastery to Years 7 and 8, measuring English outcomes at the end of Year 8. In addition, the evaluation will also measure the impact on teacher workload and GCSE outcomes.</w:t>
            </w:r>
          </w:p>
          <w:p w:rsidR="00AA276D" w:rsidRPr="00237A6A" w:rsidRDefault="00AA276D" w:rsidP="00AA276D">
            <w:pPr>
              <w:pStyle w:val="NormalWeb"/>
              <w:shd w:val="clear" w:color="auto" w:fill="FFFFFF"/>
              <w:spacing w:before="0" w:beforeAutospacing="0" w:after="288" w:afterAutospacing="0"/>
              <w:rPr>
                <w:rFonts w:asciiTheme="minorHAnsi" w:hAnsiTheme="minorHAnsi" w:cstheme="minorHAnsi"/>
              </w:rPr>
            </w:pPr>
            <w:r w:rsidRPr="00237A6A">
              <w:rPr>
                <w:rFonts w:asciiTheme="minorHAnsi" w:hAnsiTheme="minorHAnsi" w:cstheme="minorHAnsi"/>
              </w:rPr>
              <w:t>The evaluation report will be published in Spring 2022.</w:t>
            </w:r>
          </w:p>
          <w:p w:rsidR="00AA276D" w:rsidRPr="00237A6A" w:rsidRDefault="00AA276D" w:rsidP="00AA276D">
            <w:pPr>
              <w:pStyle w:val="NormalWeb"/>
              <w:shd w:val="clear" w:color="auto" w:fill="FFFFFF"/>
              <w:spacing w:before="0" w:beforeAutospacing="0" w:after="288" w:afterAutospacing="0"/>
              <w:rPr>
                <w:rFonts w:asciiTheme="minorHAnsi" w:hAnsiTheme="minorHAnsi" w:cstheme="minorHAnsi"/>
              </w:rPr>
            </w:pPr>
          </w:p>
          <w:p w:rsidR="00D26BD3" w:rsidRPr="00237A6A" w:rsidRDefault="00D26BD3" w:rsidP="00D26BD3">
            <w:pPr>
              <w:rPr>
                <w:rFonts w:cstheme="minorHAnsi"/>
                <w:sz w:val="24"/>
                <w:szCs w:val="24"/>
              </w:rPr>
            </w:pPr>
            <w:r w:rsidRPr="00237A6A">
              <w:rPr>
                <w:rFonts w:cstheme="minorHAnsi"/>
                <w:sz w:val="24"/>
                <w:szCs w:val="24"/>
              </w:rPr>
              <w:t>.</w:t>
            </w:r>
          </w:p>
        </w:tc>
      </w:tr>
      <w:tr w:rsidR="00E525EF" w:rsidRPr="00D26BD3" w:rsidTr="000A2B4D">
        <w:tc>
          <w:tcPr>
            <w:tcW w:w="0" w:type="auto"/>
            <w:shd w:val="clear" w:color="auto" w:fill="auto"/>
            <w:tcMar>
              <w:top w:w="120" w:type="dxa"/>
              <w:left w:w="192" w:type="dxa"/>
              <w:bottom w:w="120" w:type="dxa"/>
              <w:right w:w="192" w:type="dxa"/>
            </w:tcMar>
            <w:vAlign w:val="center"/>
          </w:tcPr>
          <w:p w:rsidR="00E525EF" w:rsidRPr="00237A6A" w:rsidRDefault="00E525EF" w:rsidP="00D26BD3">
            <w:pPr>
              <w:rPr>
                <w:rFonts w:cstheme="minorHAnsi"/>
                <w:sz w:val="24"/>
                <w:szCs w:val="24"/>
              </w:rPr>
            </w:pPr>
            <w:r w:rsidRPr="00237A6A">
              <w:rPr>
                <w:rFonts w:cstheme="minorHAnsi"/>
                <w:sz w:val="24"/>
                <w:szCs w:val="24"/>
              </w:rPr>
              <w:t xml:space="preserve">Ongoing collaboration with the English Lead Practitioner and the Director of Learning for English  </w:t>
            </w:r>
          </w:p>
        </w:tc>
        <w:tc>
          <w:tcPr>
            <w:tcW w:w="0" w:type="auto"/>
            <w:shd w:val="clear" w:color="auto" w:fill="auto"/>
            <w:tcMar>
              <w:top w:w="120" w:type="dxa"/>
              <w:left w:w="192" w:type="dxa"/>
              <w:bottom w:w="120" w:type="dxa"/>
              <w:right w:w="192" w:type="dxa"/>
            </w:tcMar>
            <w:vAlign w:val="center"/>
          </w:tcPr>
          <w:p w:rsidR="00E525EF" w:rsidRPr="00237A6A" w:rsidRDefault="00E525EF" w:rsidP="00D82CFE">
            <w:pPr>
              <w:rPr>
                <w:rFonts w:cstheme="minorHAnsi"/>
                <w:sz w:val="24"/>
                <w:szCs w:val="24"/>
              </w:rPr>
            </w:pPr>
            <w:r w:rsidRPr="00237A6A">
              <w:rPr>
                <w:rFonts w:cstheme="minorHAnsi"/>
                <w:sz w:val="24"/>
                <w:szCs w:val="24"/>
              </w:rPr>
              <w:t xml:space="preserve">Work closely with Paul Offord and Chloe Dolphin to ensure access to and implementation of best practice within the English department. </w:t>
            </w:r>
          </w:p>
        </w:tc>
        <w:tc>
          <w:tcPr>
            <w:tcW w:w="8110" w:type="dxa"/>
            <w:shd w:val="clear" w:color="auto" w:fill="auto"/>
            <w:tcMar>
              <w:top w:w="120" w:type="dxa"/>
              <w:left w:w="192" w:type="dxa"/>
              <w:bottom w:w="120" w:type="dxa"/>
              <w:right w:w="192" w:type="dxa"/>
            </w:tcMar>
            <w:vAlign w:val="center"/>
          </w:tcPr>
          <w:p w:rsidR="00E525EF" w:rsidRPr="00237A6A" w:rsidRDefault="00E525EF" w:rsidP="00767D2B">
            <w:pPr>
              <w:rPr>
                <w:rFonts w:cstheme="minorHAnsi"/>
                <w:bCs/>
                <w:sz w:val="24"/>
                <w:szCs w:val="24"/>
              </w:rPr>
            </w:pPr>
            <w:r w:rsidRPr="00237A6A">
              <w:rPr>
                <w:rFonts w:cstheme="minorHAnsi"/>
                <w:bCs/>
                <w:sz w:val="24"/>
                <w:szCs w:val="24"/>
              </w:rPr>
              <w:t xml:space="preserve">Data analysis shows improvements in student progress </w:t>
            </w:r>
          </w:p>
        </w:tc>
      </w:tr>
      <w:tr w:rsidR="00E525EF" w:rsidRPr="00D26BD3" w:rsidTr="000A2B4D">
        <w:tc>
          <w:tcPr>
            <w:tcW w:w="0" w:type="auto"/>
            <w:shd w:val="clear" w:color="auto" w:fill="auto"/>
            <w:tcMar>
              <w:top w:w="120" w:type="dxa"/>
              <w:left w:w="192" w:type="dxa"/>
              <w:bottom w:w="120" w:type="dxa"/>
              <w:right w:w="192" w:type="dxa"/>
            </w:tcMar>
            <w:vAlign w:val="center"/>
          </w:tcPr>
          <w:p w:rsidR="00E525EF" w:rsidRPr="00237A6A" w:rsidRDefault="00E525EF" w:rsidP="00E525EF">
            <w:pPr>
              <w:rPr>
                <w:rFonts w:cstheme="minorHAnsi"/>
                <w:sz w:val="24"/>
                <w:szCs w:val="24"/>
              </w:rPr>
            </w:pPr>
            <w:r w:rsidRPr="00237A6A">
              <w:rPr>
                <w:rFonts w:cstheme="minorHAnsi"/>
                <w:sz w:val="24"/>
                <w:szCs w:val="24"/>
              </w:rPr>
              <w:t>Ongoing collaboration with the Maths Lead Practitioner and the Director of Learning for Maths</w:t>
            </w:r>
          </w:p>
        </w:tc>
        <w:tc>
          <w:tcPr>
            <w:tcW w:w="0" w:type="auto"/>
            <w:shd w:val="clear" w:color="auto" w:fill="auto"/>
            <w:tcMar>
              <w:top w:w="120" w:type="dxa"/>
              <w:left w:w="192" w:type="dxa"/>
              <w:bottom w:w="120" w:type="dxa"/>
              <w:right w:w="192" w:type="dxa"/>
            </w:tcMar>
            <w:vAlign w:val="center"/>
          </w:tcPr>
          <w:p w:rsidR="00E525EF" w:rsidRPr="00237A6A" w:rsidRDefault="00E525EF" w:rsidP="00E525EF">
            <w:pPr>
              <w:rPr>
                <w:rFonts w:cstheme="minorHAnsi"/>
                <w:sz w:val="24"/>
                <w:szCs w:val="24"/>
              </w:rPr>
            </w:pPr>
            <w:r w:rsidRPr="00237A6A">
              <w:rPr>
                <w:rFonts w:cstheme="minorHAnsi"/>
                <w:sz w:val="24"/>
                <w:szCs w:val="24"/>
              </w:rPr>
              <w:t xml:space="preserve">Work closely with Stuart Beeby and Jim </w:t>
            </w:r>
            <w:r w:rsidR="00237A6A" w:rsidRPr="00237A6A">
              <w:rPr>
                <w:rFonts w:cstheme="minorHAnsi"/>
                <w:sz w:val="24"/>
                <w:szCs w:val="24"/>
              </w:rPr>
              <w:t>Kelly to</w:t>
            </w:r>
            <w:r w:rsidRPr="00237A6A">
              <w:rPr>
                <w:rFonts w:cstheme="minorHAnsi"/>
                <w:sz w:val="24"/>
                <w:szCs w:val="24"/>
              </w:rPr>
              <w:t xml:space="preserve"> ensure access to and implementation of best practice within the Maths department. </w:t>
            </w:r>
          </w:p>
        </w:tc>
        <w:tc>
          <w:tcPr>
            <w:tcW w:w="8110" w:type="dxa"/>
            <w:shd w:val="clear" w:color="auto" w:fill="auto"/>
            <w:tcMar>
              <w:top w:w="120" w:type="dxa"/>
              <w:left w:w="192" w:type="dxa"/>
              <w:bottom w:w="120" w:type="dxa"/>
              <w:right w:w="192" w:type="dxa"/>
            </w:tcMar>
            <w:vAlign w:val="center"/>
          </w:tcPr>
          <w:p w:rsidR="00E525EF" w:rsidRPr="00237A6A" w:rsidRDefault="00E525EF" w:rsidP="00E525EF">
            <w:pPr>
              <w:rPr>
                <w:rFonts w:cstheme="minorHAnsi"/>
                <w:bCs/>
                <w:sz w:val="24"/>
                <w:szCs w:val="24"/>
              </w:rPr>
            </w:pPr>
            <w:r w:rsidRPr="00237A6A">
              <w:rPr>
                <w:rFonts w:cstheme="minorHAnsi"/>
                <w:bCs/>
                <w:sz w:val="24"/>
                <w:szCs w:val="24"/>
              </w:rPr>
              <w:t xml:space="preserve">Data analysis shows improvements in student progress </w:t>
            </w:r>
          </w:p>
        </w:tc>
      </w:tr>
      <w:tr w:rsidR="000A2B4D" w:rsidRPr="00D26BD3" w:rsidTr="000A2B4D">
        <w:tc>
          <w:tcPr>
            <w:tcW w:w="0" w:type="auto"/>
            <w:shd w:val="clear" w:color="auto" w:fill="auto"/>
            <w:tcMar>
              <w:top w:w="120" w:type="dxa"/>
              <w:left w:w="192" w:type="dxa"/>
              <w:bottom w:w="120" w:type="dxa"/>
              <w:right w:w="192" w:type="dxa"/>
            </w:tcMar>
            <w:vAlign w:val="center"/>
          </w:tcPr>
          <w:p w:rsidR="00E525EF" w:rsidRPr="00237A6A" w:rsidRDefault="00E525EF" w:rsidP="00E525EF">
            <w:pPr>
              <w:rPr>
                <w:rFonts w:cstheme="minorHAnsi"/>
                <w:sz w:val="24"/>
                <w:szCs w:val="24"/>
              </w:rPr>
            </w:pPr>
            <w:r w:rsidRPr="00237A6A">
              <w:rPr>
                <w:rFonts w:cstheme="minorHAnsi"/>
                <w:sz w:val="24"/>
                <w:szCs w:val="24"/>
              </w:rPr>
              <w:lastRenderedPageBreak/>
              <w:t xml:space="preserve">Additional literacy and numeracy lessons for Year 7 students in the nurture pathway. </w:t>
            </w:r>
          </w:p>
        </w:tc>
        <w:tc>
          <w:tcPr>
            <w:tcW w:w="0" w:type="auto"/>
            <w:shd w:val="clear" w:color="auto" w:fill="auto"/>
            <w:tcMar>
              <w:top w:w="120" w:type="dxa"/>
              <w:left w:w="192" w:type="dxa"/>
              <w:bottom w:w="120" w:type="dxa"/>
              <w:right w:w="192" w:type="dxa"/>
            </w:tcMar>
            <w:vAlign w:val="center"/>
          </w:tcPr>
          <w:p w:rsidR="00E525EF" w:rsidRPr="00237A6A" w:rsidRDefault="00E525EF" w:rsidP="00E525EF">
            <w:pPr>
              <w:rPr>
                <w:rFonts w:cstheme="minorHAnsi"/>
                <w:sz w:val="24"/>
                <w:szCs w:val="24"/>
              </w:rPr>
            </w:pPr>
            <w:r w:rsidRPr="00237A6A">
              <w:rPr>
                <w:rFonts w:cstheme="minorHAnsi"/>
                <w:sz w:val="24"/>
                <w:szCs w:val="24"/>
              </w:rPr>
              <w:t xml:space="preserve">All students in the nurture pathway have an additional hour of numeracy and literacy per week to boost their progress and facilitate access to secondary school curriculum. </w:t>
            </w:r>
          </w:p>
        </w:tc>
        <w:tc>
          <w:tcPr>
            <w:tcW w:w="8110" w:type="dxa"/>
            <w:shd w:val="clear" w:color="auto" w:fill="auto"/>
            <w:tcMar>
              <w:top w:w="120" w:type="dxa"/>
              <w:left w:w="192" w:type="dxa"/>
              <w:bottom w:w="120" w:type="dxa"/>
              <w:right w:w="192" w:type="dxa"/>
            </w:tcMar>
            <w:vAlign w:val="center"/>
          </w:tcPr>
          <w:p w:rsidR="00E525EF" w:rsidRPr="00237A6A" w:rsidRDefault="00E525EF" w:rsidP="00E525EF">
            <w:pPr>
              <w:rPr>
                <w:rFonts w:cstheme="minorHAnsi"/>
                <w:bCs/>
                <w:sz w:val="24"/>
                <w:szCs w:val="24"/>
              </w:rPr>
            </w:pPr>
            <w:r w:rsidRPr="00237A6A">
              <w:rPr>
                <w:rFonts w:cstheme="minorHAnsi"/>
                <w:bCs/>
                <w:sz w:val="24"/>
                <w:szCs w:val="24"/>
              </w:rPr>
              <w:t xml:space="preserve">Scheduled assessments in English and mathematics show improvement. </w:t>
            </w:r>
          </w:p>
        </w:tc>
      </w:tr>
      <w:tr w:rsidR="000A2B4D" w:rsidRPr="00D26BD3" w:rsidTr="000A2B4D">
        <w:tc>
          <w:tcPr>
            <w:tcW w:w="0" w:type="auto"/>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 xml:space="preserve">Thinking Reading Programme </w:t>
            </w:r>
          </w:p>
        </w:tc>
        <w:tc>
          <w:tcPr>
            <w:tcW w:w="0" w:type="auto"/>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 xml:space="preserve">Thinking Reading is a whole-school strategy with an intensive, one-to-one intervention at its heart. It is built upon the synthesis of well-evidenced teaching methods with decades of research evidence to support them. </w:t>
            </w:r>
          </w:p>
          <w:p w:rsidR="00E525EF" w:rsidRPr="00237A6A" w:rsidRDefault="00E525EF" w:rsidP="00E525EF">
            <w:pPr>
              <w:rPr>
                <w:rFonts w:cstheme="minorHAnsi"/>
                <w:sz w:val="24"/>
                <w:szCs w:val="24"/>
              </w:rPr>
            </w:pPr>
            <w:r w:rsidRPr="00237A6A">
              <w:rPr>
                <w:rFonts w:cstheme="minorHAnsi"/>
                <w:sz w:val="24"/>
                <w:szCs w:val="24"/>
              </w:rPr>
              <w:t xml:space="preserve">Thinking Reading Coordinator administers the programme and collates student progress data. </w:t>
            </w:r>
          </w:p>
        </w:tc>
        <w:tc>
          <w:tcPr>
            <w:tcW w:w="8110" w:type="dxa"/>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bCs/>
                <w:sz w:val="24"/>
                <w:szCs w:val="24"/>
              </w:rPr>
            </w:pPr>
            <w:r w:rsidRPr="00237A6A">
              <w:rPr>
                <w:rFonts w:cstheme="minorHAnsi"/>
                <w:bCs/>
                <w:sz w:val="24"/>
                <w:szCs w:val="24"/>
              </w:rPr>
              <w:t>Thinking Coordinator selects a cohort of students following two different reading tests. Selected students attend their catch-up sessions three times a week until the discrepancy between their reading age and their chronological age is less than 12 months.</w:t>
            </w:r>
          </w:p>
          <w:p w:rsidR="00E525EF" w:rsidRPr="00237A6A" w:rsidRDefault="00E525EF" w:rsidP="00E525EF">
            <w:pPr>
              <w:rPr>
                <w:rFonts w:cstheme="minorHAnsi"/>
                <w:sz w:val="24"/>
                <w:szCs w:val="24"/>
              </w:rPr>
            </w:pPr>
          </w:p>
        </w:tc>
      </w:tr>
      <w:tr w:rsidR="000A2B4D" w:rsidRPr="00D26BD3" w:rsidTr="000A2B4D">
        <w:tc>
          <w:tcPr>
            <w:tcW w:w="0" w:type="auto"/>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 xml:space="preserve">Small focused group intervention for numeracy </w:t>
            </w:r>
          </w:p>
        </w:tc>
        <w:tc>
          <w:tcPr>
            <w:tcW w:w="0" w:type="auto"/>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An intensive numeracy programme is delivered by Higher Level Teaching Assistant during tutor time to focus on key numerical skills tailored to the needs of the students identified as areas for improvement through the question level analysis of KS2 tests.</w:t>
            </w:r>
          </w:p>
          <w:p w:rsidR="00E525EF" w:rsidRPr="00237A6A" w:rsidRDefault="00E525EF" w:rsidP="00E525EF">
            <w:pPr>
              <w:rPr>
                <w:rFonts w:cstheme="minorHAnsi"/>
                <w:sz w:val="24"/>
                <w:szCs w:val="24"/>
              </w:rPr>
            </w:pPr>
            <w:r w:rsidRPr="00237A6A">
              <w:rPr>
                <w:rFonts w:cstheme="minorHAnsi"/>
                <w:sz w:val="24"/>
                <w:szCs w:val="24"/>
              </w:rPr>
              <w:t> </w:t>
            </w:r>
          </w:p>
        </w:tc>
        <w:tc>
          <w:tcPr>
            <w:tcW w:w="8110" w:type="dxa"/>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Focused intervention to gain maximum impact. Personalised learning approach to support individual’s needs.</w:t>
            </w:r>
          </w:p>
          <w:p w:rsidR="00E525EF" w:rsidRPr="00237A6A" w:rsidRDefault="00E525EF" w:rsidP="00E525EF">
            <w:pPr>
              <w:rPr>
                <w:rFonts w:cstheme="minorHAnsi"/>
                <w:sz w:val="24"/>
                <w:szCs w:val="24"/>
              </w:rPr>
            </w:pPr>
            <w:r w:rsidRPr="00237A6A">
              <w:rPr>
                <w:rFonts w:cstheme="minorHAnsi"/>
                <w:sz w:val="24"/>
                <w:szCs w:val="24"/>
              </w:rPr>
              <w:t xml:space="preserve">Use of baseline tests and check out tests to evaluate progress. </w:t>
            </w:r>
          </w:p>
        </w:tc>
      </w:tr>
      <w:tr w:rsidR="003C3667" w:rsidRPr="00D26BD3" w:rsidTr="000A2B4D">
        <w:tc>
          <w:tcPr>
            <w:tcW w:w="0" w:type="auto"/>
            <w:shd w:val="clear" w:color="auto" w:fill="auto"/>
            <w:tcMar>
              <w:top w:w="120" w:type="dxa"/>
              <w:left w:w="192" w:type="dxa"/>
              <w:bottom w:w="120" w:type="dxa"/>
              <w:right w:w="192" w:type="dxa"/>
            </w:tcMar>
            <w:vAlign w:val="center"/>
          </w:tcPr>
          <w:p w:rsidR="00E525EF" w:rsidRPr="00237A6A" w:rsidRDefault="00E525EF" w:rsidP="00E525EF">
            <w:pPr>
              <w:rPr>
                <w:rFonts w:cstheme="minorHAnsi"/>
                <w:sz w:val="24"/>
                <w:szCs w:val="24"/>
              </w:rPr>
            </w:pPr>
            <w:r w:rsidRPr="00237A6A">
              <w:rPr>
                <w:rFonts w:cstheme="minorHAnsi"/>
                <w:sz w:val="24"/>
                <w:szCs w:val="24"/>
              </w:rPr>
              <w:t>Small focused group intervention for literacy</w:t>
            </w:r>
          </w:p>
          <w:p w:rsidR="00E525EF" w:rsidRPr="00237A6A" w:rsidRDefault="00E525EF" w:rsidP="00E525EF">
            <w:pPr>
              <w:rPr>
                <w:rFonts w:cstheme="minorHAnsi"/>
                <w:sz w:val="24"/>
                <w:szCs w:val="24"/>
              </w:rPr>
            </w:pPr>
            <w:r w:rsidRPr="00237A6A">
              <w:rPr>
                <w:rFonts w:cstheme="minorHAnsi"/>
                <w:sz w:val="24"/>
                <w:szCs w:val="24"/>
              </w:rPr>
              <w:lastRenderedPageBreak/>
              <w:t> </w:t>
            </w:r>
          </w:p>
        </w:tc>
        <w:tc>
          <w:tcPr>
            <w:tcW w:w="0" w:type="auto"/>
            <w:shd w:val="clear" w:color="auto" w:fill="auto"/>
            <w:tcMar>
              <w:top w:w="120" w:type="dxa"/>
              <w:left w:w="192" w:type="dxa"/>
              <w:bottom w:w="120" w:type="dxa"/>
              <w:right w:w="192" w:type="dxa"/>
            </w:tcMar>
            <w:vAlign w:val="center"/>
          </w:tcPr>
          <w:p w:rsidR="00E525EF" w:rsidRPr="00237A6A" w:rsidRDefault="00E525EF" w:rsidP="00E525EF">
            <w:pPr>
              <w:rPr>
                <w:rFonts w:cstheme="minorHAnsi"/>
                <w:sz w:val="24"/>
                <w:szCs w:val="24"/>
              </w:rPr>
            </w:pPr>
            <w:r w:rsidRPr="00237A6A">
              <w:rPr>
                <w:rFonts w:cstheme="minorHAnsi"/>
                <w:sz w:val="24"/>
                <w:szCs w:val="24"/>
              </w:rPr>
              <w:lastRenderedPageBreak/>
              <w:t>An intensive literacy programme is delivered by the Librarian during tutor time to focus on key reading comprehension skills </w:t>
            </w:r>
          </w:p>
        </w:tc>
        <w:tc>
          <w:tcPr>
            <w:tcW w:w="8110" w:type="dxa"/>
            <w:shd w:val="clear" w:color="auto" w:fill="auto"/>
            <w:tcMar>
              <w:top w:w="120" w:type="dxa"/>
              <w:left w:w="192" w:type="dxa"/>
              <w:bottom w:w="120" w:type="dxa"/>
              <w:right w:w="192" w:type="dxa"/>
            </w:tcMar>
            <w:vAlign w:val="center"/>
          </w:tcPr>
          <w:p w:rsidR="00E525EF" w:rsidRPr="00237A6A" w:rsidRDefault="00E525EF" w:rsidP="00E525EF">
            <w:pPr>
              <w:rPr>
                <w:rFonts w:cstheme="minorHAnsi"/>
                <w:sz w:val="24"/>
                <w:szCs w:val="24"/>
              </w:rPr>
            </w:pPr>
            <w:r w:rsidRPr="00237A6A">
              <w:rPr>
                <w:rFonts w:cstheme="minorHAnsi"/>
                <w:sz w:val="24"/>
                <w:szCs w:val="24"/>
              </w:rPr>
              <w:t>Focused intervention to gain maximum impact. Personalised learning approach to support individual’s needs.</w:t>
            </w:r>
          </w:p>
          <w:p w:rsidR="00E525EF" w:rsidRPr="00237A6A" w:rsidRDefault="00E525EF" w:rsidP="00E525EF">
            <w:pPr>
              <w:rPr>
                <w:rFonts w:cstheme="minorHAnsi"/>
                <w:sz w:val="24"/>
                <w:szCs w:val="24"/>
              </w:rPr>
            </w:pPr>
            <w:r w:rsidRPr="00237A6A">
              <w:rPr>
                <w:rFonts w:cstheme="minorHAnsi"/>
                <w:sz w:val="24"/>
                <w:szCs w:val="24"/>
              </w:rPr>
              <w:t xml:space="preserve">Use of baseline reading tests and check out reading tests to evaluate progress. </w:t>
            </w:r>
          </w:p>
        </w:tc>
      </w:tr>
      <w:tr w:rsidR="00237A6A" w:rsidRPr="00D26BD3" w:rsidTr="000A2B4D">
        <w:tc>
          <w:tcPr>
            <w:tcW w:w="0" w:type="auto"/>
            <w:shd w:val="clear" w:color="auto" w:fill="auto"/>
            <w:tcMar>
              <w:top w:w="120" w:type="dxa"/>
              <w:left w:w="192" w:type="dxa"/>
              <w:bottom w:w="120" w:type="dxa"/>
              <w:right w:w="192" w:type="dxa"/>
            </w:tcMar>
            <w:vAlign w:val="center"/>
          </w:tcPr>
          <w:p w:rsidR="00237A6A" w:rsidRPr="00237A6A" w:rsidRDefault="00237A6A" w:rsidP="00E525EF">
            <w:pPr>
              <w:rPr>
                <w:rFonts w:cstheme="minorHAnsi"/>
                <w:sz w:val="24"/>
                <w:szCs w:val="24"/>
              </w:rPr>
            </w:pPr>
            <w:r w:rsidRPr="00237A6A">
              <w:rPr>
                <w:rFonts w:cstheme="minorHAnsi"/>
                <w:sz w:val="24"/>
                <w:szCs w:val="24"/>
              </w:rPr>
              <w:t>Additional dyscalculia and dyslexia screening</w:t>
            </w:r>
          </w:p>
        </w:tc>
        <w:tc>
          <w:tcPr>
            <w:tcW w:w="0" w:type="auto"/>
            <w:shd w:val="clear" w:color="auto" w:fill="auto"/>
            <w:tcMar>
              <w:top w:w="120" w:type="dxa"/>
              <w:left w:w="192" w:type="dxa"/>
              <w:bottom w:w="120" w:type="dxa"/>
              <w:right w:w="192" w:type="dxa"/>
            </w:tcMar>
            <w:vAlign w:val="center"/>
          </w:tcPr>
          <w:p w:rsidR="00237A6A" w:rsidRPr="00237A6A" w:rsidRDefault="00237A6A" w:rsidP="00E525EF">
            <w:pPr>
              <w:rPr>
                <w:rFonts w:cstheme="minorHAnsi"/>
                <w:sz w:val="24"/>
                <w:szCs w:val="24"/>
              </w:rPr>
            </w:pPr>
            <w:r w:rsidRPr="00237A6A">
              <w:rPr>
                <w:rFonts w:cstheme="minorHAnsi"/>
                <w:sz w:val="24"/>
                <w:szCs w:val="24"/>
              </w:rPr>
              <w:t xml:space="preserve">Students whose KS2 and/or CATs scores are significantly below average are screened for signs of dyslexia and dyscalculia by the SEN department.  </w:t>
            </w:r>
          </w:p>
        </w:tc>
        <w:tc>
          <w:tcPr>
            <w:tcW w:w="8110" w:type="dxa"/>
            <w:shd w:val="clear" w:color="auto" w:fill="auto"/>
            <w:tcMar>
              <w:top w:w="120" w:type="dxa"/>
              <w:left w:w="192" w:type="dxa"/>
              <w:bottom w:w="120" w:type="dxa"/>
              <w:right w:w="192" w:type="dxa"/>
            </w:tcMar>
            <w:vAlign w:val="center"/>
          </w:tcPr>
          <w:p w:rsidR="00237A6A" w:rsidRPr="00237A6A" w:rsidRDefault="00237A6A" w:rsidP="00E525EF">
            <w:pPr>
              <w:rPr>
                <w:rFonts w:cstheme="minorHAnsi"/>
                <w:sz w:val="24"/>
                <w:szCs w:val="24"/>
              </w:rPr>
            </w:pPr>
            <w:r w:rsidRPr="00237A6A">
              <w:rPr>
                <w:rFonts w:cstheme="minorHAnsi"/>
                <w:sz w:val="24"/>
                <w:szCs w:val="24"/>
              </w:rPr>
              <w:t xml:space="preserve">Staff are provided with guidelines and strategies to best meet the needs of students with signs of dyslexia and dyscalculia. This information is disseminated by the SEN department. </w:t>
            </w:r>
          </w:p>
        </w:tc>
      </w:tr>
      <w:tr w:rsidR="000A2B4D" w:rsidRPr="00D26BD3" w:rsidTr="000A2B4D">
        <w:tc>
          <w:tcPr>
            <w:tcW w:w="0" w:type="auto"/>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 xml:space="preserve">Differentiation </w:t>
            </w:r>
          </w:p>
        </w:tc>
        <w:tc>
          <w:tcPr>
            <w:tcW w:w="0" w:type="auto"/>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 xml:space="preserve">All lessons must be prepared and delivered through the lens of disadvantaged learners to ensure progress of all students. Whole staff CPD session delivered.  </w:t>
            </w:r>
          </w:p>
        </w:tc>
        <w:tc>
          <w:tcPr>
            <w:tcW w:w="8110" w:type="dxa"/>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Quality assurance activities demonstrate that lessons are accessible and challenging for all learners</w:t>
            </w:r>
          </w:p>
        </w:tc>
      </w:tr>
      <w:tr w:rsidR="003C3667" w:rsidRPr="00D26BD3" w:rsidTr="000A2B4D">
        <w:tc>
          <w:tcPr>
            <w:tcW w:w="0" w:type="auto"/>
            <w:shd w:val="clear" w:color="auto" w:fill="auto"/>
            <w:tcMar>
              <w:top w:w="120" w:type="dxa"/>
              <w:left w:w="192" w:type="dxa"/>
              <w:bottom w:w="120" w:type="dxa"/>
              <w:right w:w="192" w:type="dxa"/>
            </w:tcMar>
            <w:vAlign w:val="center"/>
          </w:tcPr>
          <w:p w:rsidR="003C3667" w:rsidRPr="00237A6A" w:rsidRDefault="003C3667" w:rsidP="00E525EF">
            <w:pPr>
              <w:rPr>
                <w:rFonts w:cstheme="minorHAnsi"/>
                <w:sz w:val="24"/>
                <w:szCs w:val="24"/>
              </w:rPr>
            </w:pPr>
            <w:r w:rsidRPr="00237A6A">
              <w:rPr>
                <w:rFonts w:cstheme="minorHAnsi"/>
                <w:sz w:val="24"/>
                <w:szCs w:val="24"/>
              </w:rPr>
              <w:t>‘Calculator Licence’ module delivered to all Year 7 students within a block of maths lessons</w:t>
            </w:r>
          </w:p>
        </w:tc>
        <w:tc>
          <w:tcPr>
            <w:tcW w:w="0" w:type="auto"/>
            <w:shd w:val="clear" w:color="auto" w:fill="auto"/>
            <w:tcMar>
              <w:top w:w="120" w:type="dxa"/>
              <w:left w:w="192" w:type="dxa"/>
              <w:bottom w:w="120" w:type="dxa"/>
              <w:right w:w="192" w:type="dxa"/>
            </w:tcMar>
            <w:vAlign w:val="center"/>
          </w:tcPr>
          <w:p w:rsidR="003C3667" w:rsidRPr="00237A6A" w:rsidRDefault="003C3667" w:rsidP="00E525EF">
            <w:pPr>
              <w:rPr>
                <w:rFonts w:cstheme="minorHAnsi"/>
                <w:sz w:val="24"/>
                <w:szCs w:val="24"/>
              </w:rPr>
            </w:pPr>
            <w:r w:rsidRPr="00237A6A">
              <w:rPr>
                <w:rFonts w:cstheme="minorHAnsi"/>
                <w:sz w:val="24"/>
                <w:szCs w:val="24"/>
              </w:rPr>
              <w:t>All Year 7 students will take part in the ‘Calculator Licence’ module which focuses on mastering the key functions of Casio scientific calculator. This is to allow them to prepare well for future GCSE exams</w:t>
            </w:r>
            <w:r w:rsidR="00137301" w:rsidRPr="00237A6A">
              <w:rPr>
                <w:rFonts w:cstheme="minorHAnsi"/>
                <w:sz w:val="24"/>
                <w:szCs w:val="24"/>
              </w:rPr>
              <w:t>,</w:t>
            </w:r>
            <w:r w:rsidRPr="00237A6A">
              <w:rPr>
                <w:rFonts w:cstheme="minorHAnsi"/>
                <w:sz w:val="24"/>
                <w:szCs w:val="24"/>
              </w:rPr>
              <w:t xml:space="preserve"> two out of three of which are calculator papers. </w:t>
            </w:r>
            <w:r w:rsidR="00137301" w:rsidRPr="00237A6A">
              <w:rPr>
                <w:rFonts w:cstheme="minorHAnsi"/>
                <w:sz w:val="24"/>
                <w:szCs w:val="24"/>
              </w:rPr>
              <w:t xml:space="preserve"> </w:t>
            </w:r>
          </w:p>
        </w:tc>
        <w:tc>
          <w:tcPr>
            <w:tcW w:w="8110" w:type="dxa"/>
            <w:shd w:val="clear" w:color="auto" w:fill="auto"/>
            <w:tcMar>
              <w:top w:w="120" w:type="dxa"/>
              <w:left w:w="192" w:type="dxa"/>
              <w:bottom w:w="120" w:type="dxa"/>
              <w:right w:w="192" w:type="dxa"/>
            </w:tcMar>
            <w:vAlign w:val="center"/>
          </w:tcPr>
          <w:p w:rsidR="003C3667" w:rsidRPr="00237A6A" w:rsidRDefault="003C3667" w:rsidP="00E525EF">
            <w:pPr>
              <w:rPr>
                <w:rFonts w:cstheme="minorHAnsi"/>
                <w:sz w:val="24"/>
                <w:szCs w:val="24"/>
              </w:rPr>
            </w:pPr>
          </w:p>
        </w:tc>
      </w:tr>
      <w:tr w:rsidR="000A2B4D" w:rsidRPr="00D26BD3" w:rsidTr="000A2B4D">
        <w:tc>
          <w:tcPr>
            <w:tcW w:w="0" w:type="auto"/>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Resources</w:t>
            </w:r>
          </w:p>
        </w:tc>
        <w:tc>
          <w:tcPr>
            <w:tcW w:w="0" w:type="auto"/>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Any additional resources deemed appropriate. Support learning and progress for students where additional resources are required to meet the needs of the students in relation to literacy and numeracy.</w:t>
            </w:r>
          </w:p>
        </w:tc>
        <w:tc>
          <w:tcPr>
            <w:tcW w:w="8110" w:type="dxa"/>
            <w:shd w:val="clear" w:color="auto" w:fill="auto"/>
            <w:tcMar>
              <w:top w:w="120" w:type="dxa"/>
              <w:left w:w="192" w:type="dxa"/>
              <w:bottom w:w="120" w:type="dxa"/>
              <w:right w:w="192" w:type="dxa"/>
            </w:tcMar>
            <w:vAlign w:val="center"/>
            <w:hideMark/>
          </w:tcPr>
          <w:p w:rsidR="00E525EF" w:rsidRPr="00237A6A" w:rsidRDefault="00E525EF" w:rsidP="00E525EF">
            <w:pPr>
              <w:rPr>
                <w:rFonts w:cstheme="minorHAnsi"/>
                <w:sz w:val="24"/>
                <w:szCs w:val="24"/>
              </w:rPr>
            </w:pPr>
            <w:r w:rsidRPr="00237A6A">
              <w:rPr>
                <w:rFonts w:cstheme="minorHAnsi"/>
                <w:sz w:val="24"/>
                <w:szCs w:val="24"/>
              </w:rPr>
              <w:t>Focused intervention to gain maximum impact. Personalised learning approach to support individual’s needs.</w:t>
            </w:r>
          </w:p>
        </w:tc>
      </w:tr>
    </w:tbl>
    <w:p w:rsidR="00445984" w:rsidRPr="00D73FF7" w:rsidRDefault="00D26BD3" w:rsidP="00D73FF7">
      <w:pPr>
        <w:rPr>
          <w:b/>
          <w:bCs/>
        </w:rPr>
      </w:pPr>
      <w:r w:rsidRPr="00D26BD3">
        <w:rPr>
          <w:b/>
          <w:bCs/>
        </w:rPr>
        <w:t>IMPACT</w:t>
      </w:r>
      <w:r w:rsidR="00D73FF7">
        <w:rPr>
          <w:b/>
          <w:bCs/>
        </w:rPr>
        <w:t xml:space="preserve">: </w:t>
      </w:r>
      <w:r w:rsidRPr="00237A6A">
        <w:rPr>
          <w:sz w:val="24"/>
          <w:szCs w:val="24"/>
        </w:rPr>
        <w:t xml:space="preserve">The impact of </w:t>
      </w:r>
      <w:r w:rsidR="00237A6A" w:rsidRPr="00237A6A">
        <w:rPr>
          <w:sz w:val="24"/>
          <w:szCs w:val="24"/>
        </w:rPr>
        <w:t>Year 7 Catch-Up</w:t>
      </w:r>
      <w:r w:rsidRPr="00237A6A">
        <w:rPr>
          <w:sz w:val="24"/>
          <w:szCs w:val="24"/>
        </w:rPr>
        <w:t xml:space="preserve"> funding will be monitored through assessment data, assessment for learning, behaviour, homework and attitude. Supportive strategies will be considered depending on t</w:t>
      </w:r>
      <w:r w:rsidR="00237A6A" w:rsidRPr="00237A6A">
        <w:rPr>
          <w:sz w:val="24"/>
          <w:szCs w:val="24"/>
        </w:rPr>
        <w:t xml:space="preserve">he individual needs of students. </w:t>
      </w:r>
      <w:r w:rsidR="00237A6A">
        <w:rPr>
          <w:noProof/>
          <w:lang w:eastAsia="en-GB"/>
        </w:rPr>
        <w:t xml:space="preserve">                                                                                                                                        </w:t>
      </w:r>
      <w:r w:rsidR="00237A6A" w:rsidRPr="002549E3">
        <w:rPr>
          <w:noProof/>
          <w:lang w:eastAsia="en-GB"/>
        </w:rPr>
        <w:drawing>
          <wp:inline distT="0" distB="0" distL="0" distR="0" wp14:anchorId="0926FC8C" wp14:editId="37B339BD">
            <wp:extent cx="600075" cy="29563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112" cy="309944"/>
                    </a:xfrm>
                    <a:prstGeom prst="rect">
                      <a:avLst/>
                    </a:prstGeom>
                  </pic:spPr>
                </pic:pic>
              </a:graphicData>
            </a:graphic>
          </wp:inline>
        </w:drawing>
      </w:r>
      <w:bookmarkStart w:id="0" w:name="_GoBack"/>
      <w:bookmarkEnd w:id="0"/>
    </w:p>
    <w:sectPr w:rsidR="00445984" w:rsidRPr="00D73FF7" w:rsidSect="000A2B4D">
      <w:pgSz w:w="16838" w:h="11906" w:orient="landscape"/>
      <w:pgMar w:top="720" w:right="720" w:bottom="720" w:left="720" w:header="708" w:footer="708" w:gutter="0"/>
      <w:pgBorders w:offsetFrom="page">
        <w:top w:val="double" w:sz="4" w:space="24" w:color="2F5496" w:themeColor="accent5" w:themeShade="BF"/>
        <w:left w:val="double" w:sz="4" w:space="24" w:color="2F5496" w:themeColor="accent5" w:themeShade="BF"/>
        <w:bottom w:val="double" w:sz="4" w:space="24" w:color="2F5496" w:themeColor="accent5" w:themeShade="BF"/>
        <w:right w:val="doub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08" w:rsidRDefault="001C4008" w:rsidP="00A92185">
      <w:pPr>
        <w:spacing w:after="0" w:line="240" w:lineRule="auto"/>
      </w:pPr>
      <w:r>
        <w:separator/>
      </w:r>
    </w:p>
  </w:endnote>
  <w:endnote w:type="continuationSeparator" w:id="0">
    <w:p w:rsidR="001C4008" w:rsidRDefault="001C4008" w:rsidP="00A9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08" w:rsidRDefault="001C4008" w:rsidP="00A92185">
      <w:pPr>
        <w:spacing w:after="0" w:line="240" w:lineRule="auto"/>
      </w:pPr>
      <w:r>
        <w:separator/>
      </w:r>
    </w:p>
  </w:footnote>
  <w:footnote w:type="continuationSeparator" w:id="0">
    <w:p w:rsidR="001C4008" w:rsidRDefault="001C4008" w:rsidP="00A92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45C6"/>
    <w:multiLevelType w:val="hybridMultilevel"/>
    <w:tmpl w:val="22B83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7724F"/>
    <w:multiLevelType w:val="multilevel"/>
    <w:tmpl w:val="135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12988"/>
    <w:multiLevelType w:val="hybridMultilevel"/>
    <w:tmpl w:val="C7383C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CD6997"/>
    <w:multiLevelType w:val="hybridMultilevel"/>
    <w:tmpl w:val="4CCEDF5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762D7B28"/>
    <w:multiLevelType w:val="hybridMultilevel"/>
    <w:tmpl w:val="CCA0A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C241E0"/>
    <w:multiLevelType w:val="multilevel"/>
    <w:tmpl w:val="CF80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AA"/>
    <w:rsid w:val="000A2B4D"/>
    <w:rsid w:val="000A40D3"/>
    <w:rsid w:val="00137301"/>
    <w:rsid w:val="00197F35"/>
    <w:rsid w:val="001C4008"/>
    <w:rsid w:val="0020051B"/>
    <w:rsid w:val="00237A6A"/>
    <w:rsid w:val="002549E3"/>
    <w:rsid w:val="003003C9"/>
    <w:rsid w:val="003109B3"/>
    <w:rsid w:val="00343B76"/>
    <w:rsid w:val="003C3667"/>
    <w:rsid w:val="003F4BF8"/>
    <w:rsid w:val="00445984"/>
    <w:rsid w:val="004B16F3"/>
    <w:rsid w:val="004C090B"/>
    <w:rsid w:val="005264EB"/>
    <w:rsid w:val="00542D72"/>
    <w:rsid w:val="005706C4"/>
    <w:rsid w:val="005D2134"/>
    <w:rsid w:val="00615D68"/>
    <w:rsid w:val="00633A50"/>
    <w:rsid w:val="00695BC7"/>
    <w:rsid w:val="006E2636"/>
    <w:rsid w:val="00767D2B"/>
    <w:rsid w:val="007E0AF5"/>
    <w:rsid w:val="007E6875"/>
    <w:rsid w:val="008246AA"/>
    <w:rsid w:val="00A92185"/>
    <w:rsid w:val="00AA276D"/>
    <w:rsid w:val="00AD4630"/>
    <w:rsid w:val="00B30AD6"/>
    <w:rsid w:val="00B33D39"/>
    <w:rsid w:val="00BC3188"/>
    <w:rsid w:val="00BD0C01"/>
    <w:rsid w:val="00D26BD3"/>
    <w:rsid w:val="00D73FF7"/>
    <w:rsid w:val="00D82CFE"/>
    <w:rsid w:val="00DD7093"/>
    <w:rsid w:val="00E525EF"/>
    <w:rsid w:val="00E609EE"/>
    <w:rsid w:val="00ED37B9"/>
    <w:rsid w:val="00EF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C0E2A"/>
  <w15:chartTrackingRefBased/>
  <w15:docId w15:val="{A91AC453-4F0F-4B2B-AAC3-83617E03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27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F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06C4"/>
    <w:rPr>
      <w:color w:val="0563C1" w:themeColor="hyperlink"/>
      <w:u w:val="single"/>
    </w:rPr>
  </w:style>
  <w:style w:type="character" w:styleId="FollowedHyperlink">
    <w:name w:val="FollowedHyperlink"/>
    <w:basedOn w:val="DefaultParagraphFont"/>
    <w:uiPriority w:val="99"/>
    <w:semiHidden/>
    <w:unhideWhenUsed/>
    <w:rsid w:val="005706C4"/>
    <w:rPr>
      <w:color w:val="954F72" w:themeColor="followedHyperlink"/>
      <w:u w:val="single"/>
    </w:rPr>
  </w:style>
  <w:style w:type="paragraph" w:styleId="Header">
    <w:name w:val="header"/>
    <w:basedOn w:val="Normal"/>
    <w:link w:val="HeaderChar"/>
    <w:uiPriority w:val="99"/>
    <w:unhideWhenUsed/>
    <w:rsid w:val="00A92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185"/>
  </w:style>
  <w:style w:type="paragraph" w:styleId="Footer">
    <w:name w:val="footer"/>
    <w:basedOn w:val="Normal"/>
    <w:link w:val="FooterChar"/>
    <w:uiPriority w:val="99"/>
    <w:unhideWhenUsed/>
    <w:rsid w:val="00A92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185"/>
  </w:style>
  <w:style w:type="paragraph" w:styleId="ListParagraph">
    <w:name w:val="List Paragraph"/>
    <w:basedOn w:val="Normal"/>
    <w:uiPriority w:val="34"/>
    <w:qFormat/>
    <w:rsid w:val="00E609EE"/>
    <w:pPr>
      <w:ind w:left="720"/>
      <w:contextualSpacing/>
    </w:pPr>
  </w:style>
  <w:style w:type="character" w:customStyle="1" w:styleId="Heading3Char">
    <w:name w:val="Heading 3 Char"/>
    <w:basedOn w:val="DefaultParagraphFont"/>
    <w:link w:val="Heading3"/>
    <w:uiPriority w:val="9"/>
    <w:rsid w:val="00AA276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3801">
      <w:bodyDiv w:val="1"/>
      <w:marLeft w:val="0"/>
      <w:marRight w:val="0"/>
      <w:marTop w:val="0"/>
      <w:marBottom w:val="0"/>
      <w:divBdr>
        <w:top w:val="none" w:sz="0" w:space="0" w:color="auto"/>
        <w:left w:val="none" w:sz="0" w:space="0" w:color="auto"/>
        <w:bottom w:val="none" w:sz="0" w:space="0" w:color="auto"/>
        <w:right w:val="none" w:sz="0" w:space="0" w:color="auto"/>
      </w:divBdr>
    </w:div>
    <w:div w:id="329797875">
      <w:bodyDiv w:val="1"/>
      <w:marLeft w:val="0"/>
      <w:marRight w:val="0"/>
      <w:marTop w:val="0"/>
      <w:marBottom w:val="0"/>
      <w:divBdr>
        <w:top w:val="none" w:sz="0" w:space="0" w:color="auto"/>
        <w:left w:val="none" w:sz="0" w:space="0" w:color="auto"/>
        <w:bottom w:val="none" w:sz="0" w:space="0" w:color="auto"/>
        <w:right w:val="none" w:sz="0" w:space="0" w:color="auto"/>
      </w:divBdr>
    </w:div>
    <w:div w:id="403839638">
      <w:bodyDiv w:val="1"/>
      <w:marLeft w:val="0"/>
      <w:marRight w:val="0"/>
      <w:marTop w:val="0"/>
      <w:marBottom w:val="0"/>
      <w:divBdr>
        <w:top w:val="none" w:sz="0" w:space="0" w:color="auto"/>
        <w:left w:val="none" w:sz="0" w:space="0" w:color="auto"/>
        <w:bottom w:val="none" w:sz="0" w:space="0" w:color="auto"/>
        <w:right w:val="none" w:sz="0" w:space="0" w:color="auto"/>
      </w:divBdr>
    </w:div>
    <w:div w:id="463238950">
      <w:bodyDiv w:val="1"/>
      <w:marLeft w:val="0"/>
      <w:marRight w:val="0"/>
      <w:marTop w:val="0"/>
      <w:marBottom w:val="0"/>
      <w:divBdr>
        <w:top w:val="none" w:sz="0" w:space="0" w:color="auto"/>
        <w:left w:val="none" w:sz="0" w:space="0" w:color="auto"/>
        <w:bottom w:val="none" w:sz="0" w:space="0" w:color="auto"/>
        <w:right w:val="none" w:sz="0" w:space="0" w:color="auto"/>
      </w:divBdr>
    </w:div>
    <w:div w:id="569458719">
      <w:bodyDiv w:val="1"/>
      <w:marLeft w:val="0"/>
      <w:marRight w:val="0"/>
      <w:marTop w:val="0"/>
      <w:marBottom w:val="0"/>
      <w:divBdr>
        <w:top w:val="none" w:sz="0" w:space="0" w:color="auto"/>
        <w:left w:val="none" w:sz="0" w:space="0" w:color="auto"/>
        <w:bottom w:val="none" w:sz="0" w:space="0" w:color="auto"/>
        <w:right w:val="none" w:sz="0" w:space="0" w:color="auto"/>
      </w:divBdr>
    </w:div>
    <w:div w:id="692531880">
      <w:bodyDiv w:val="1"/>
      <w:marLeft w:val="0"/>
      <w:marRight w:val="0"/>
      <w:marTop w:val="0"/>
      <w:marBottom w:val="0"/>
      <w:divBdr>
        <w:top w:val="none" w:sz="0" w:space="0" w:color="auto"/>
        <w:left w:val="none" w:sz="0" w:space="0" w:color="auto"/>
        <w:bottom w:val="none" w:sz="0" w:space="0" w:color="auto"/>
        <w:right w:val="none" w:sz="0" w:space="0" w:color="auto"/>
      </w:divBdr>
    </w:div>
    <w:div w:id="12027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nglishmast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Hope Learning Trust</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2020-01-08T15:04:00Z</dcterms:created>
  <dcterms:modified xsi:type="dcterms:W3CDTF">2020-01-08T15:04:00Z</dcterms:modified>
</cp:coreProperties>
</file>